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472B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472B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B53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932EB">
        <w:rPr>
          <w:rFonts w:asciiTheme="majorHAnsi" w:hAnsiTheme="majorHAnsi" w:cstheme="majorHAnsi"/>
          <w:b/>
          <w:sz w:val="32"/>
          <w:szCs w:val="32"/>
        </w:rPr>
        <w:t xml:space="preserve"> NAHRANI KOKOŠKO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932E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 – FINA MOTORIKA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932E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932E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Jana Krhin, Hedvika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Šinkar</w:t>
            </w:r>
            <w:proofErr w:type="spellEnd"/>
          </w:p>
        </w:tc>
      </w:tr>
      <w:tr w:rsidR="006932EB" w:rsidRPr="00453068" w:rsidTr="00302E4B">
        <w:tc>
          <w:tcPr>
            <w:tcW w:w="2415" w:type="dxa"/>
          </w:tcPr>
          <w:p w:rsidR="006932EB" w:rsidRPr="00453068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932EB" w:rsidRPr="006932EB" w:rsidRDefault="006932EB" w:rsidP="006932E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932EB">
              <w:rPr>
                <w:rFonts w:asciiTheme="majorHAnsi" w:hAnsiTheme="majorHAnsi" w:cstheme="majorHAnsi"/>
                <w:sz w:val="22"/>
                <w:szCs w:val="22"/>
              </w:rPr>
              <w:t>Razvijanje prstne spretnosti oziroma fine motorike.</w:t>
            </w:r>
          </w:p>
          <w:p w:rsidR="006932EB" w:rsidRPr="006932EB" w:rsidRDefault="006932EB" w:rsidP="006932E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932EB">
              <w:rPr>
                <w:rFonts w:asciiTheme="majorHAnsi" w:hAnsiTheme="majorHAnsi" w:cstheme="majorHAnsi"/>
                <w:sz w:val="22"/>
                <w:szCs w:val="22"/>
              </w:rPr>
              <w:t xml:space="preserve">Razvijanje koordinacije oziroma skladnosti gibanja. </w:t>
            </w:r>
          </w:p>
        </w:tc>
      </w:tr>
      <w:tr w:rsidR="006932EB" w:rsidRPr="00453068" w:rsidTr="00302E4B">
        <w:tc>
          <w:tcPr>
            <w:tcW w:w="2415" w:type="dxa"/>
          </w:tcPr>
          <w:p w:rsidR="006932EB" w:rsidRPr="00453068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Kartonasta škatla, papir, flomastri, lepilo, ščipalka za perilo, pinceta, koruza, cofki, ječmenova zrna</w:t>
            </w:r>
          </w:p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32EB" w:rsidRPr="00453068" w:rsidTr="00302E4B">
        <w:tc>
          <w:tcPr>
            <w:tcW w:w="2415" w:type="dxa"/>
          </w:tcPr>
          <w:p w:rsidR="006932EB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932EB" w:rsidRPr="00453068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F1969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 papir narišemo kokoško, ki jo prilepimo na kartonasto škatlo. Pred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kokoškin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kljun naredimo luknjo. Luknja mora biti dovolj velika, da zrna lahko padajo vanjo. Cilj igre je, da otrok nahrani kokoško. Za to lahko uporabimo ječmenova ali koruzna zrna, cofke, kamenčke… </w:t>
            </w:r>
            <w:r w:rsidR="006F1969">
              <w:rPr>
                <w:rFonts w:asciiTheme="majorHAnsi" w:hAnsiTheme="majorHAnsi" w:cstheme="majorHAnsi"/>
                <w:sz w:val="22"/>
                <w:szCs w:val="22"/>
              </w:rPr>
              <w:t xml:space="preserve">Otroci lahko kokoško nahranijo na več načinov: </w:t>
            </w:r>
          </w:p>
          <w:p w:rsidR="006932EB" w:rsidRDefault="006F1969" w:rsidP="006F1969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</w:t>
            </w:r>
            <w:r w:rsidRPr="006F1969">
              <w:rPr>
                <w:rFonts w:asciiTheme="majorHAnsi" w:hAnsiTheme="majorHAnsi" w:cstheme="majorHAnsi"/>
                <w:sz w:val="22"/>
                <w:szCs w:val="22"/>
              </w:rPr>
              <w:t xml:space="preserve">enim prstkom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»vozijo</w:t>
            </w:r>
            <w:r w:rsidR="00AB53A4">
              <w:rPr>
                <w:rFonts w:asciiTheme="majorHAnsi" w:hAnsiTheme="majorHAnsi" w:cstheme="majorHAnsi"/>
                <w:sz w:val="22"/>
                <w:szCs w:val="22"/>
              </w:rPr>
              <w:t xml:space="preserve"> (drsajo)</w:t>
            </w:r>
            <w:r w:rsidRPr="006F1969">
              <w:rPr>
                <w:rFonts w:asciiTheme="majorHAnsi" w:hAnsiTheme="majorHAnsi" w:cstheme="majorHAnsi"/>
                <w:sz w:val="22"/>
                <w:szCs w:val="22"/>
              </w:rPr>
              <w:t xml:space="preserve">« zrna v luknjo. </w:t>
            </w:r>
          </w:p>
          <w:p w:rsidR="006F1969" w:rsidRDefault="006F1969" w:rsidP="006F1969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pincetnim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prijemom – primejo posamezno zrno in ga nesejo do luknje. </w:t>
            </w:r>
          </w:p>
          <w:p w:rsidR="006F1969" w:rsidRPr="006F1969" w:rsidRDefault="006F1969" w:rsidP="006F1969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Starejši otroci lahko zrna prenašajo s pinceto ali s ščipalko za perilo.</w:t>
            </w:r>
          </w:p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2EB" w:rsidRPr="00453068" w:rsidRDefault="006932EB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32EB" w:rsidRPr="00453068" w:rsidTr="00302E4B">
        <w:tc>
          <w:tcPr>
            <w:tcW w:w="2415" w:type="dxa"/>
          </w:tcPr>
          <w:p w:rsidR="006932EB" w:rsidRPr="00453068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3355DD" w:rsidRDefault="003355DD" w:rsidP="006932EB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6932EB" w:rsidRDefault="006F1969" w:rsidP="006932EB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F196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350000" cy="1800000"/>
                  <wp:effectExtent l="3493" t="0" r="6667" b="6668"/>
                  <wp:docPr id="1" name="Slika 1" descr="C:\Users\Jana\Desktop\ko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a\Desktop\ko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   </w:t>
            </w:r>
            <w:r w:rsidRPr="006F196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E9CA065" wp14:editId="49C21ABB">
                  <wp:extent cx="1800000" cy="1350000"/>
                  <wp:effectExtent l="0" t="0" r="0" b="3175"/>
                  <wp:docPr id="2" name="Slika 2" descr="C:\Users\Jana\Desktop\ko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a\Desktop\ko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969" w:rsidRDefault="006F1969" w:rsidP="006932EB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6F1969" w:rsidRDefault="003355DD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55DD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800000" cy="1350000"/>
                  <wp:effectExtent l="0" t="0" r="0" b="3175"/>
                  <wp:docPr id="3" name="Slika 3" descr="C:\Users\Jana\Desktop\kok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a\Desktop\kok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Vir: domača fotografija</w:t>
            </w:r>
          </w:p>
          <w:p w:rsidR="006F1969" w:rsidRPr="00453068" w:rsidRDefault="006F1969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32EB" w:rsidRPr="00453068" w:rsidTr="00302E4B">
        <w:tc>
          <w:tcPr>
            <w:tcW w:w="2415" w:type="dxa"/>
          </w:tcPr>
          <w:p w:rsidR="006932EB" w:rsidRPr="00453068" w:rsidRDefault="006932EB" w:rsidP="006932E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932EB" w:rsidRPr="00453068" w:rsidRDefault="006F1969" w:rsidP="006932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Težavnost igre lahko stopnjujemo z načinom hranjenja (drsanje,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pincetni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prijem, uporaba pincete ali ščipalke) in velikostjo zrn (manjša kot so, težja je naloga).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B25"/>
    <w:multiLevelType w:val="hybridMultilevel"/>
    <w:tmpl w:val="5B987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68DC"/>
    <w:multiLevelType w:val="hybridMultilevel"/>
    <w:tmpl w:val="199239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7BB0"/>
    <w:multiLevelType w:val="hybridMultilevel"/>
    <w:tmpl w:val="A09AE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355DD"/>
    <w:rsid w:val="003E600C"/>
    <w:rsid w:val="006932EB"/>
    <w:rsid w:val="006B6614"/>
    <w:rsid w:val="006F1969"/>
    <w:rsid w:val="009472B2"/>
    <w:rsid w:val="00AB53A4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2020-03-31T09:57:00Z</dcterms:created>
  <dcterms:modified xsi:type="dcterms:W3CDTF">2020-03-31T09:57:00Z</dcterms:modified>
</cp:coreProperties>
</file>